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mallCaps w:val="1"/>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1" name=""/>
                <a:graphic>
                  <a:graphicData uri="http://schemas.microsoft.com/office/word/2010/wordprocessingGroup">
                    <wpg:wgp>
                      <wpg:cNvGrpSpPr/>
                      <wpg:grpSpPr>
                        <a:xfrm>
                          <a:off x="2202750" y="0"/>
                          <a:ext cx="6286500" cy="7540002"/>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25" cy="7560000"/>
                            </a:xfrm>
                          </wpg:grpSpPr>
                          <wps:wsp>
                            <wps:cNvSpPr/>
                            <wps:cNvPr id="5" name="Shape 5"/>
                            <wps:spPr>
                              <a:xfrm>
                                <a:off x="2202750" y="0"/>
                                <a:ext cx="6286525"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7" name="Shape 7"/>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9" name="Shape 9"/>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11" name="Shape 11"/>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4.9999237060547"/>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4.9999237060547"/>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4.9999237060547"/>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7540002"/>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286500" cy="7540002"/>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133350</wp:posOffset>
            </wp:positionH>
            <wp:positionV relativeFrom="paragraph">
              <wp:posOffset>828675</wp:posOffset>
            </wp:positionV>
            <wp:extent cx="1647190" cy="13716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11"/>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RM6360 Legal Panel for Government (‘RM6360’).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40"/>
        <w:gridCol w:w="8055"/>
        <w:tblGridChange w:id="0">
          <w:tblGrid>
            <w:gridCol w:w="436"/>
            <w:gridCol w:w="2040"/>
            <w:gridCol w:w="8055"/>
          </w:tblGrid>
        </w:tblGridChange>
      </w:tblGrid>
      <w:tr>
        <w:trPr>
          <w:cantSplit w:val="0"/>
          <w:trHeight w:val="1072"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67"/>
              <w:gridCol w:w="4720"/>
              <w:tblGridChange w:id="0">
                <w:tblGrid>
                  <w:gridCol w:w="2567"/>
                  <w:gridCol w:w="472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[Supplier Registration]</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ind w:left="34" w:firstLine="2.0000000000000018"/>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relates to RM6360 which comprises the following Lots:</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1 - Core Legal Services</w:t>
            </w:r>
          </w:p>
          <w:p w:rsidR="00000000" w:rsidDel="00000000" w:rsidP="00000000" w:rsidRDefault="00000000" w:rsidRPr="00000000" w14:paraId="0000001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2 - Major Projects and Complex Advice</w:t>
            </w:r>
          </w:p>
          <w:p w:rsidR="00000000" w:rsidDel="00000000" w:rsidP="00000000" w:rsidRDefault="00000000" w:rsidRPr="00000000" w14:paraId="0000001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3 - Finance and High Risk/Innovation</w:t>
            </w:r>
          </w:p>
          <w:p w:rsidR="00000000" w:rsidDel="00000000" w:rsidP="00000000" w:rsidRDefault="00000000" w:rsidRPr="00000000" w14:paraId="0000001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(a) – Trade &amp; Investment Negotiations </w:t>
            </w:r>
          </w:p>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(b) - International Trade Disputes</w:t>
            </w:r>
          </w:p>
          <w:p w:rsidR="00000000" w:rsidDel="00000000" w:rsidP="00000000" w:rsidRDefault="00000000" w:rsidRPr="00000000" w14:paraId="0000001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4 (c) - International Investment Disputes</w:t>
            </w:r>
          </w:p>
          <w:p w:rsidR="00000000" w:rsidDel="00000000" w:rsidP="00000000" w:rsidRDefault="00000000" w:rsidRPr="00000000" w14:paraId="0000002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5 – Rail Legal Services</w:t>
            </w:r>
          </w:p>
          <w:p w:rsidR="00000000" w:rsidDel="00000000" w:rsidP="00000000" w:rsidRDefault="00000000" w:rsidRPr="00000000" w14:paraId="0000002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Lot 4 collectively refers to Lot 4(a), Lot 4(b) and Lot 4(c)).</w:t>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was advertised in the contract notice in the Find a Tender Service reference</w:t>
            </w:r>
            <w:r w:rsidDel="00000000" w:rsidR="00000000" w:rsidRPr="00000000">
              <w:rPr>
                <w:rFonts w:ascii="Arial" w:cs="Arial" w:eastAsia="Arial" w:hAnsi="Arial"/>
                <w:color w:val="000000"/>
                <w:sz w:val="20"/>
                <w:szCs w:val="20"/>
                <w:highlight w:val="white"/>
                <w:rtl w:val="0"/>
              </w:rPr>
              <w:t xml:space="preserve"> </w:t>
            </w:r>
            <w:r w:rsidDel="00000000" w:rsidR="00000000" w:rsidRPr="00000000">
              <w:rPr>
                <w:rFonts w:ascii="Arial" w:cs="Arial" w:eastAsia="Arial" w:hAnsi="Arial"/>
                <w:color w:val="000000"/>
                <w:sz w:val="24"/>
                <w:szCs w:val="24"/>
                <w:rtl w:val="0"/>
              </w:rPr>
              <w:t xml:space="preserve">2025/S 000-005959.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Fonts w:ascii="Arial" w:cs="Arial" w:eastAsia="Arial" w:hAnsi="Arial"/>
                <w:color w:val="000000"/>
                <w:sz w:val="24"/>
                <w:szCs w:val="24"/>
                <w:rtl w:val="0"/>
              </w:rPr>
              <w:t xml:space="preserve">The Supplier has been appointed to Lot(s)</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bookmarkStart w:colFirst="0" w:colLast="0" w:name="_8uqf1ybbypxp" w:id="0"/>
            <w:bookmarkEnd w:id="0"/>
            <w:r w:rsidDel="00000000" w:rsidR="00000000" w:rsidRPr="00000000">
              <w:rPr>
                <w:rFonts w:ascii="Arial" w:cs="Arial" w:eastAsia="Arial" w:hAnsi="Arial"/>
                <w:color w:val="000000"/>
                <w:sz w:val="24"/>
                <w:szCs w:val="24"/>
                <w:rtl w:val="0"/>
              </w:rPr>
              <w:t xml:space="preserve">This Framework Contract allows the Supplier to be considered for Call-off Contracts to supply the Deliverables in the applicable Lot(s) only. The Supplier cannot supply Deliverables in any other Lot under this Framework Contract. </w:t>
            </w: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27">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1 (Specification) for further details.</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F">
            <w:pP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30/09/2025</w:t>
            </w:r>
            <w:r w:rsidDel="00000000" w:rsidR="00000000" w:rsidRPr="00000000">
              <w:rPr>
                <w:rtl w:val="0"/>
              </w:rPr>
            </w:r>
          </w:p>
        </w:tc>
      </w:tr>
      <w:tr>
        <w:trPr>
          <w:cantSplit w:val="0"/>
          <w:trHeight w:val="60" w:hRule="atLeast"/>
          <w:tblHeader w:val="0"/>
        </w:trPr>
        <w:tc>
          <w:tcPr/>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29/09/2028</w:t>
            </w:r>
          </w:p>
        </w:tc>
      </w:tr>
      <w:tr>
        <w:trPr>
          <w:cantSplit w:val="0"/>
          <w:trHeight w:val="471" w:hRule="atLeast"/>
          <w:tblHeader w:val="0"/>
        </w:trPr>
        <w:tc>
          <w:tcPr/>
          <w:p w:rsidR="00000000" w:rsidDel="00000000" w:rsidP="00000000" w:rsidRDefault="00000000" w:rsidRPr="00000000" w14:paraId="0000003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39">
            <w:pP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this agreement is 3 years with the option to extend for a further 1 year (3yr + 1yr).</w:t>
            </w:r>
          </w:p>
        </w:tc>
      </w:tr>
      <w:tr>
        <w:trPr>
          <w:cantSplit w:val="0"/>
          <w:trHeight w:val="837" w:hRule="atLeast"/>
          <w:tblHeader w:val="0"/>
        </w:trPr>
        <w:tc>
          <w:tcPr/>
          <w:p w:rsidR="00000000" w:rsidDel="00000000" w:rsidP="00000000" w:rsidRDefault="00000000" w:rsidRPr="00000000" w14:paraId="0000003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3D">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3E">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3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p w:rsidR="00000000" w:rsidDel="00000000" w:rsidP="00000000" w:rsidRDefault="00000000" w:rsidRPr="00000000" w14:paraId="00000041">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43">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1">
            <w:pPr>
              <w:spacing w:after="0" w:line="259"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5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If the documents conflict, the following order of precedence applies:</w:t>
            </w:r>
          </w:p>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055">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056">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RM6360 </w:t>
            </w:r>
          </w:p>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RM6360</w:t>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RM6360 (in equal order of precedence):</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062">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063">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064">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 xml:space="preserve">]</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 xml:space="preserv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 xml:space="preserve">]</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 xml:space="preserve">]</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 xml:space="preserve">]</w:t>
            </w:r>
          </w:p>
          <w:p w:rsidR="00000000" w:rsidDel="00000000" w:rsidP="00000000" w:rsidRDefault="00000000" w:rsidRPr="00000000" w14:paraId="0000006F">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 xml:space="preserve">]      </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 </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23 (HMRC Terms)                ] </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tab/>
              <w:tab/>
              <w:tab/>
              <w:tab/>
              <w:t xml:space="preserve">]</w:t>
            </w:r>
          </w:p>
          <w:p w:rsidR="00000000" w:rsidDel="00000000" w:rsidP="00000000" w:rsidRDefault="00000000" w:rsidRPr="00000000" w14:paraId="00000074">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25 (Secondment Agreement Template)                </w:t>
              <w:tab/>
              <w:tab/>
              <w:tab/>
              <w:tab/>
              <w:tab/>
              <w:t xml:space="preserve">]  </w:t>
            </w:r>
          </w:p>
          <w:p w:rsidR="00000000" w:rsidDel="00000000" w:rsidP="00000000" w:rsidRDefault="00000000" w:rsidRPr="00000000" w14:paraId="00000075">
            <w:pPr>
              <w:numPr>
                <w:ilvl w:val="2"/>
                <w:numId w:val="3"/>
              </w:numPr>
              <w:pBdr>
                <w:top w:space="0" w:sz="0" w:val="nil"/>
                <w:left w:space="0" w:sz="0" w:val="nil"/>
                <w:bottom w:space="0" w:sz="0" w:val="nil"/>
                <w:right w:space="0" w:sz="0" w:val="nil"/>
                <w:between w:space="0" w:sz="0" w:val="nil"/>
              </w:pBdr>
              <w:spacing w:after="0" w:line="259" w:lineRule="auto"/>
              <w:ind w:left="2160" w:hanging="360"/>
              <w:rPr>
                <w:color w:val="000000"/>
                <w:sz w:val="24"/>
                <w:szCs w:val="24"/>
              </w:rPr>
            </w:pPr>
            <w:r w:rsidDel="00000000" w:rsidR="00000000" w:rsidRPr="00000000">
              <w:rPr>
                <w:rFonts w:ascii="Arial" w:cs="Arial" w:eastAsia="Arial" w:hAnsi="Arial"/>
                <w:color w:val="000000"/>
                <w:sz w:val="24"/>
                <w:szCs w:val="24"/>
                <w:rtl w:val="0"/>
              </w:rPr>
              <w:t xml:space="preserve">[Call-Off Schedule 26 (Special Schedule)</w:t>
              <w:tab/>
              <w:t xml:space="preserve">]     </w:t>
            </w:r>
          </w:p>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077">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078">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w:t>
              <w:tab/>
              <w:t xml:space="preserve">] </w:t>
            </w:r>
          </w:p>
          <w:p w:rsidR="00000000" w:rsidDel="00000000" w:rsidP="00000000" w:rsidRDefault="00000000" w:rsidRPr="00000000" w14:paraId="00000079">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07A">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7B">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7C">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 xml:space="preserve">]</w:t>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tab/>
              <w:tab/>
              <w:tab/>
              <w:t xml:space="preserve">]</w:t>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8 (Guarantee)</w:t>
              <w:tab/>
              <w:tab/>
              <w:tab/>
              <w:tab/>
              <w:t xml:space="preserve">]</w:t>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after="0" w:lineRule="auto"/>
              <w:ind w:left="1440" w:hanging="360"/>
              <w:rPr>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RM6360</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RM6360 as long as any part of the Framework Tender that offers a better commercial position for CCS or Buyers (as decided by CCS) take precedence over the documents above </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08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rPr>
                <w:color w:val="000000"/>
              </w:rPr>
            </w:pPr>
            <w:r w:rsidDel="00000000" w:rsidR="00000000" w:rsidRPr="00000000">
              <w:rPr>
                <w:rFonts w:ascii="Arial" w:cs="Arial" w:eastAsia="Arial" w:hAnsi="Arial"/>
                <w:color w:val="000000"/>
                <w:sz w:val="24"/>
                <w:szCs w:val="24"/>
                <w:rtl w:val="0"/>
              </w:rPr>
              <w:t xml:space="preserve">Special Term 1 – The following Clauses of the Core Terms shall be amended with additional wording underlined and deletions scored-through:</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2.11</w:t>
              <w:tab/>
              <w:t xml:space="preserve">Where the Supplier has an existing arrangement in place under:</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1276" w:hanging="567"/>
              <w:jc w:val="both"/>
              <w:rPr>
                <w:color w:val="000000"/>
              </w:rPr>
            </w:pPr>
            <w:r w:rsidDel="00000000" w:rsidR="00000000" w:rsidRPr="00000000">
              <w:rPr>
                <w:rtl w:val="0"/>
              </w:rPr>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spacing w:after="0" w:line="240" w:lineRule="auto"/>
              <w:ind w:left="1264" w:hanging="555"/>
              <w:jc w:val="both"/>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Legal Services Panel (reference number RM6179);</w:t>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1264" w:firstLine="0"/>
              <w:jc w:val="both"/>
              <w:rPr>
                <w:color w:val="000000"/>
              </w:rPr>
            </w:pPr>
            <w:r w:rsidDel="00000000" w:rsidR="00000000" w:rsidRPr="00000000">
              <w:rPr>
                <w:rtl w:val="0"/>
              </w:rPr>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spacing w:after="0" w:line="240" w:lineRule="auto"/>
              <w:ind w:left="1264" w:hanging="555"/>
              <w:jc w:val="both"/>
              <w:rPr>
                <w:rFonts w:ascii="Arial" w:cs="Arial" w:eastAsia="Arial" w:hAnsi="Arial"/>
                <w:color w:val="000000"/>
                <w:sz w:val="24"/>
                <w:szCs w:val="24"/>
                <w:u w:val="none"/>
              </w:rPr>
            </w:pPr>
            <w:r w:rsidDel="00000000" w:rsidR="00000000" w:rsidRPr="00000000">
              <w:rPr>
                <w:rFonts w:ascii="Arial" w:cs="Arial" w:eastAsia="Arial" w:hAnsi="Arial"/>
                <w:color w:val="000000"/>
                <w:sz w:val="24"/>
                <w:szCs w:val="24"/>
                <w:rtl w:val="0"/>
              </w:rPr>
              <w:t xml:space="preserve">Rail Legal Services (reference number RM6204); and/or</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ind w:left="1276" w:hanging="567"/>
              <w:jc w:val="both"/>
              <w:rPr>
                <w:color w:val="000000"/>
              </w:rPr>
            </w:pPr>
            <w:r w:rsidDel="00000000" w:rsidR="00000000" w:rsidRPr="00000000">
              <w:rPr>
                <w:rFonts w:ascii="Arial" w:cs="Arial" w:eastAsia="Arial" w:hAnsi="Arial"/>
                <w:color w:val="000000"/>
                <w:sz w:val="24"/>
                <w:szCs w:val="24"/>
                <w:rtl w:val="0"/>
              </w:rPr>
              <w:t xml:space="preserve">(c)    Trade Law Panel (reference number RM6183);</w:t>
            </w: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any Other Contracting Authority for the provision of a Comparable Deliverables prior to the Start Date, the Supplier shall refuse any new instructions under that existing arrangement that are not within the scope of the existing arrangements after the Call-Off Start Date. </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left="709" w:hanging="709"/>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2.12 </w:t>
              <w:tab/>
              <w:t xml:space="preserve">When performing its obligations under this Contract the Supplier shall act consistently, applying principles of equal treatment and non-discrimination, with regard to requests for assistance from and dealing with each Buyer.</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2.13</w:t>
              <w:tab/>
              <w:t xml:space="preserve">If the Supplier is bidding to provide Deliverables under Framework Schedule 7 (Call-Off Award Procedure) and the Supplier or its Affiliates are already providing or are due to provide Comparable Deliverables to other contracting authorities, there will need to be a transfer of those Comparable Deliverables so that they fall under this Framework Contract. The Supplier shall promptly provide all reasonable information and assistance to each other contracting authority as may be required from time to time to enable it to assess the risks and effect of the transfer, and to achieve a smooth transfer as far as possible.</w:t>
            </w:r>
          </w:p>
          <w:p w:rsidR="00000000" w:rsidDel="00000000" w:rsidP="00000000" w:rsidRDefault="00000000" w:rsidRPr="00000000" w14:paraId="00000096">
            <w:pPr>
              <w:pBdr>
                <w:top w:space="0" w:sz="0" w:val="nil"/>
                <w:left w:space="0" w:sz="0" w:val="nil"/>
                <w:bottom w:space="0" w:sz="0" w:val="nil"/>
                <w:right w:space="0" w:sz="0" w:val="nil"/>
                <w:between w:space="0" w:sz="0" w:val="nil"/>
              </w:pBd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3.1.1 The Supplier must provide Deliverables: …</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that comply with Law and Regulatory Compliance requirements.</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ind w:left="566" w:hanging="566"/>
              <w:rPr>
                <w:color w:val="000000"/>
              </w:rPr>
            </w:pPr>
            <w:r w:rsidDel="00000000" w:rsidR="00000000" w:rsidRPr="00000000">
              <w:rPr>
                <w:rFonts w:ascii="Arial" w:cs="Arial" w:eastAsia="Arial" w:hAnsi="Arial"/>
                <w:color w:val="000000"/>
                <w:sz w:val="24"/>
                <w:szCs w:val="24"/>
                <w:rtl w:val="0"/>
              </w:rPr>
              <w:t xml:space="preserve">3.3.8 </w:t>
              <w:tab/>
              <w:t xml:space="preserve">The Supplier shall not:</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without the prior written consent of the Buyer, accept any commission, discount, allowance, direct or indirect payment, or any other consideration from any third party in connection with the provision of the Deliverables;</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pledge the credit of the Buyer in any way; </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engage in any conduct which in the reasonable opinion of the Buyer is prejudicial to the Buyer, CCS or the Crown; or</w:t>
            </w:r>
          </w:p>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0" w:line="240" w:lineRule="auto"/>
              <w:ind w:left="1264"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incur any expenditure which would result in any estimated figure for any element of the Deliverables being exceeded without the Buyer’s written agreement.</w:t>
              <w:tab/>
              <w:br w:type="textWrapping"/>
            </w:r>
          </w:p>
          <w:p w:rsidR="00000000" w:rsidDel="00000000" w:rsidP="00000000" w:rsidRDefault="00000000" w:rsidRPr="00000000" w14:paraId="000000A1">
            <w:pPr>
              <w:pBdr>
                <w:top w:space="0" w:sz="0" w:val="nil"/>
                <w:left w:space="0" w:sz="0" w:val="nil"/>
                <w:bottom w:space="0" w:sz="0" w:val="nil"/>
                <w:right w:space="0" w:sz="0" w:val="nil"/>
                <w:between w:space="0" w:sz="0" w:val="nil"/>
              </w:pBdr>
              <w:ind w:left="414" w:hanging="414"/>
              <w:rPr>
                <w:color w:val="000000"/>
              </w:rPr>
            </w:pPr>
            <w:r w:rsidDel="00000000" w:rsidR="00000000" w:rsidRPr="00000000">
              <w:rPr>
                <w:rFonts w:ascii="Arial" w:cs="Arial" w:eastAsia="Arial" w:hAnsi="Arial"/>
                <w:color w:val="000000"/>
                <w:sz w:val="24"/>
                <w:szCs w:val="24"/>
                <w:rtl w:val="0"/>
              </w:rPr>
              <w:t xml:space="preserve">4.1  In exchange for the Deliverables, the Supplier must invoice the Buyer for the Charges in the Order Form. When invoicing, the Supplier shall comply with the volume discounting provisions (as applicable) set out in Framework Schedule 3 (Framework Pricing).</w:t>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ind w:left="414"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8.1 The Supplier warrants and represents that:  …</w:t>
            </w:r>
          </w:p>
          <w:p w:rsidR="00000000" w:rsidDel="00000000" w:rsidP="00000000" w:rsidRDefault="00000000" w:rsidRPr="00000000" w14:paraId="000000A3">
            <w:pPr>
              <w:pBdr>
                <w:top w:space="0" w:sz="0" w:val="nil"/>
                <w:left w:space="0" w:sz="0" w:val="nil"/>
                <w:bottom w:space="0" w:sz="0" w:val="nil"/>
                <w:right w:space="0" w:sz="0" w:val="nil"/>
                <w:between w:space="0" w:sz="0" w:val="nil"/>
              </w:pBdr>
              <w:ind w:left="850" w:hanging="41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it is legally valid and existing organisation, a partnership and/or incorporated, organised and subsisting in accordance with the laws in the place it was formed;</w:t>
            </w:r>
          </w:p>
          <w:p w:rsidR="00000000" w:rsidDel="00000000" w:rsidP="00000000" w:rsidRDefault="00000000" w:rsidRPr="00000000" w14:paraId="000000A4">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10.2.2 Each Buyer has the right to terminate their Call-Off Contract at any time without reason by giving the Supplier not less than 90 days’ written notice and if it’s terminated Clause 10.6 shall apply.  Without prejudice to Clause 10.6.3, the Buyer shall have no liability in respect of any costs incurred by the Supplier arising from such termination.</w:t>
            </w:r>
          </w:p>
          <w:p w:rsidR="00000000" w:rsidDel="00000000" w:rsidP="00000000" w:rsidRDefault="00000000" w:rsidRPr="00000000" w14:paraId="000000A5">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10.2.2(a) Subject to Clause 10.2.2(b), each Buyer has the right to terminate their individual Statement(s) of Work annexed to the Order Form (if applicable) at any time without reason by giving the Supplier not less than 15 days’ written notice and if it’s terminated Clause 10.6 shall apply.  Without prejudice to Clause 10.6.3, the Buyer shall have no liability in respect of any costs incurred by the Supplier arising from such termination. </w:t>
            </w:r>
          </w:p>
          <w:p w:rsidR="00000000" w:rsidDel="00000000" w:rsidP="00000000" w:rsidRDefault="00000000" w:rsidRPr="00000000" w14:paraId="000000A6">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10.2.2(b) Where there is only a single Statement of Work under a Call-Off Contract Clause 10.2.2 will apply, meaning the notice period is 90 days to terminate that Statement of Work. </w:t>
            </w:r>
          </w:p>
          <w:p w:rsidR="00000000" w:rsidDel="00000000" w:rsidP="00000000" w:rsidRDefault="00000000" w:rsidRPr="00000000" w14:paraId="000000A7">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10.6.1 Where a Party terminates a Contract or, where applicable, terminates any Statement of Work, under Clauses 10.2.1, 10.2.2, 10.2.2(a), 10.4.1, 10.4.2, 10.4.3, 10.5 or 20.2 or a Contract expires all of the following apply:</w:t>
            </w:r>
          </w:p>
          <w:p w:rsidR="00000000" w:rsidDel="00000000" w:rsidP="00000000" w:rsidRDefault="00000000" w:rsidRPr="00000000" w14:paraId="000000A8">
            <w:pPr>
              <w:pBdr>
                <w:top w:space="0" w:sz="0" w:val="nil"/>
                <w:left w:space="0" w:sz="0" w:val="nil"/>
                <w:bottom w:space="0" w:sz="0" w:val="nil"/>
                <w:right w:space="0" w:sz="0" w:val="nil"/>
                <w:between w:space="0" w:sz="0" w:val="nil"/>
              </w:pBdr>
              <w:ind w:left="56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Buyer’s payment obligations under the terminated Contract or terminated Statement of Work stop immediately.  </w:t>
            </w:r>
          </w:p>
          <w:p w:rsidR="00000000" w:rsidDel="00000000" w:rsidP="00000000" w:rsidRDefault="00000000" w:rsidRPr="00000000" w14:paraId="000000A9">
            <w:pPr>
              <w:pBdr>
                <w:top w:space="0" w:sz="0" w:val="nil"/>
                <w:left w:space="0" w:sz="0" w:val="nil"/>
                <w:bottom w:space="0" w:sz="0" w:val="nil"/>
                <w:right w:space="0" w:sz="0" w:val="nil"/>
                <w:between w:space="0" w:sz="0" w:val="nil"/>
              </w:pBdr>
              <w:ind w:left="56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the Supplier must promptly return any of CCS or the Buyer’s property provided under the terminated Contract or terminated Statement of Work.</w:t>
            </w:r>
          </w:p>
          <w:p w:rsidR="00000000" w:rsidDel="00000000" w:rsidP="00000000" w:rsidRDefault="00000000" w:rsidRPr="00000000" w14:paraId="000000AA">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10.6.2 In addition to the consequences of termination listed in Clause 10.6.1, where the Relevant Authority terminates a Contract under Clause 10.4.1 the Supplier is also responsible for the Relevant Authority’s reasonable costs and any additional expenditure incurred in procuring Replacement Deliverables for the rest of the Contract Period.</w:t>
            </w:r>
          </w:p>
          <w:p w:rsidR="00000000" w:rsidDel="00000000" w:rsidP="00000000" w:rsidRDefault="00000000" w:rsidRPr="00000000" w14:paraId="000000AB">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10.6.3 In addition to the consequences of termination listed in Clause 10.6.1, if either the Relevant Authority terminates a Contract under Clause 10.2.1,</w:t>
            </w:r>
            <w:r w:rsidDel="00000000" w:rsidR="00000000" w:rsidRPr="00000000">
              <w:rPr>
                <w:rFonts w:ascii="Arial" w:cs="Arial" w:eastAsia="Arial" w:hAnsi="Arial"/>
                <w:color w:val="000000"/>
                <w:sz w:val="24"/>
                <w:szCs w:val="24"/>
                <w:rtl w:val="0"/>
              </w:rPr>
              <w:t xml:space="preserve">10.2.2 or 10.2.2(a) or a Supplier terminates a Call-Off Contract under Clause 10.5:</w:t>
            </w:r>
          </w:p>
          <w:p w:rsidR="00000000" w:rsidDel="00000000" w:rsidP="00000000" w:rsidRDefault="00000000" w:rsidRPr="00000000" w14:paraId="000000AC">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10.7.3 Where the Buyer has the right to terminate a Call-Off Contract or Statement of Work it can terminate or suspend (for any period), all or part of it.  If the Buyer suspends a Contract or Statement of Work it can provide the Deliverables itself or buy them from a third party.</w:t>
            </w:r>
          </w:p>
          <w:p w:rsidR="00000000" w:rsidDel="00000000" w:rsidP="00000000" w:rsidRDefault="00000000" w:rsidRPr="00000000" w14:paraId="000000AD">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10.7.4 The Relevant Authority can only partially terminate or suspend a Contract or Statement of Work if the remaining parts of that Contract or Statement of Work can still be used to effectively deliver the intended purpose.</w:t>
            </w:r>
          </w:p>
          <w:p w:rsidR="00000000" w:rsidDel="00000000" w:rsidP="00000000" w:rsidRDefault="00000000" w:rsidRPr="00000000" w14:paraId="000000AE">
            <w:pPr>
              <w:pBdr>
                <w:top w:space="0" w:sz="0" w:val="nil"/>
                <w:left w:space="0" w:sz="0" w:val="nil"/>
                <w:bottom w:space="0" w:sz="0" w:val="nil"/>
                <w:right w:space="0" w:sz="0" w:val="nil"/>
                <w:between w:space="0" w:sz="0" w:val="nil"/>
              </w:pBdr>
              <w:ind w:left="566" w:hanging="566"/>
              <w:rPr>
                <w:color w:val="000000"/>
              </w:rPr>
            </w:pPr>
            <w:r w:rsidDel="00000000" w:rsidR="00000000" w:rsidRPr="00000000">
              <w:rPr>
                <w:rFonts w:ascii="Arial" w:cs="Arial" w:eastAsia="Arial" w:hAnsi="Arial"/>
                <w:color w:val="000000"/>
                <w:sz w:val="24"/>
                <w:szCs w:val="24"/>
                <w:rtl w:val="0"/>
              </w:rPr>
              <w:t xml:space="preserve">11.1 Subject to any applicable Regulatory Compliance requirements, each Party’s total aggregate liability in each Contract Year under this Framework Contract (whether in tort, contract or otherwise) is not more than £1,000,000.</w:t>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11.2(a) Subject to any applicable Regulatory Compliance requirements, the Buyer’s total aggregate liability in each Contract Year under each Call-Off Contract (whether in tort, contract or otherwise) is no more than the greater of £5 million or 150% of the Estimated Yearly Charges unless specified in the Call-Off Order Form.</w:t>
            </w:r>
          </w:p>
          <w:p w:rsidR="00000000" w:rsidDel="00000000" w:rsidP="00000000" w:rsidRDefault="00000000" w:rsidRPr="00000000" w14:paraId="000000B0">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 Subject to any applicable Regulatory Compliance requirements, the Supplier’s total aggregate liability in each Contract Year under each Call-Off Contract (whether in tort, contract or otherwise) is no more than:</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11.2(b)(i) for Lot 1: Fifteen million pounds sterling (£15,000,000);</w:t>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11.2(b)(ii) for Lot 2: One hundred million pounds sterling (£100,000,000); </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11.2(b)(iii) for Lot 3: One hundred and fifty million pounds sterling (£150,000,000);</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11.2(b)(iv) for Lot 4(a): One hundred and fifty million pounds sterling (£150,000,000);</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11.2(b)(v) for Lot 4(b): One hundred and fifty million pounds sterling (£150,000,000);</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11.2(b)(vi) for Lot 4(c): One hundred and fifty million pounds sterling (£150,000,000); and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11.2(b)(vii) for Lot 5: One hundred and fifty million pounds sterling (£150,000,000), </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240" w:lineRule="auto"/>
              <w:ind w:left="1276" w:hanging="567"/>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ind w:left="546" w:firstLine="1.0000000000000142"/>
              <w:rPr>
                <w:color w:val="000000"/>
              </w:rPr>
            </w:pPr>
            <w:r w:rsidDel="00000000" w:rsidR="00000000" w:rsidRPr="00000000">
              <w:rPr>
                <w:rFonts w:ascii="Arial" w:cs="Arial" w:eastAsia="Arial" w:hAnsi="Arial"/>
                <w:color w:val="000000"/>
                <w:sz w:val="24"/>
                <w:szCs w:val="24"/>
                <w:rtl w:val="0"/>
              </w:rPr>
              <w:t xml:space="preserve">unless specified in the Call-Off Order Form.</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11.3 No Party is liable to the other for:</w:t>
            </w:r>
          </w:p>
          <w:p w:rsidR="00000000" w:rsidDel="00000000" w:rsidP="00000000" w:rsidRDefault="00000000" w:rsidRPr="00000000" w14:paraId="000000C1">
            <w:pPr>
              <w:pBdr>
                <w:top w:space="0" w:sz="0" w:val="nil"/>
                <w:left w:space="0" w:sz="0" w:val="nil"/>
                <w:bottom w:space="0" w:sz="0" w:val="nil"/>
                <w:right w:space="0" w:sz="0" w:val="nil"/>
                <w:between w:space="0" w:sz="0" w:val="nil"/>
              </w:pBdr>
              <w:ind w:left="991" w:hanging="425"/>
              <w:rPr>
                <w:color w:val="000000"/>
              </w:rPr>
            </w:pPr>
            <w:r w:rsidDel="00000000" w:rsidR="00000000" w:rsidRPr="00000000">
              <w:rPr>
                <w:rFonts w:ascii="Arial" w:cs="Arial" w:eastAsia="Arial" w:hAnsi="Arial"/>
                <w:color w:val="000000"/>
                <w:sz w:val="24"/>
                <w:szCs w:val="24"/>
                <w:rtl w:val="0"/>
              </w:rPr>
              <w:t xml:space="preserve">(a)  any indirect, consequential or special Losses;</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ind w:left="991" w:hanging="425"/>
              <w:rPr>
                <w:color w:val="000000"/>
              </w:rPr>
            </w:pPr>
            <w:r w:rsidDel="00000000" w:rsidR="00000000" w:rsidRPr="00000000">
              <w:rPr>
                <w:rFonts w:ascii="Arial" w:cs="Arial" w:eastAsia="Arial" w:hAnsi="Arial"/>
                <w:color w:val="000000"/>
                <w:sz w:val="24"/>
                <w:szCs w:val="24"/>
                <w:rtl w:val="0"/>
              </w:rPr>
              <w:t xml:space="preserve">(b)  loss of profits, turnover, savings (including anticipated savings), business opportunities or damage to goodwill (in each case whether direct or indirect).</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ind w:left="566"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11.5 In spite of Clauses 11.1 and 11.2, the Supplier does not limit or exclude its liability for an indemnity given under Clauses 7.5, 8.3(b), 9.5, 12.2 or 31.3 or Call-Off Schedule 2 (Staff Transfer) of a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566" w:hanging="566"/>
              <w:rPr>
                <w:color w:val="000000"/>
              </w:rPr>
            </w:pPr>
            <w:r w:rsidDel="00000000" w:rsidR="00000000" w:rsidRPr="00000000">
              <w:rPr>
                <w:rFonts w:ascii="Arial" w:cs="Arial" w:eastAsia="Arial" w:hAnsi="Arial"/>
                <w:color w:val="000000"/>
                <w:sz w:val="24"/>
                <w:szCs w:val="24"/>
                <w:rtl w:val="0"/>
              </w:rPr>
              <w:t xml:space="preserve">11.10</w:t>
              <w:tab/>
              <w:t xml:space="preserve">The Supplier shall be liable for the following types of Loss which shall be regarded as direct (without in any way, limiting other categories of Loss which may be recoverable by CCS and the Buyer):</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any wasted expenditure or charges;</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any additional operational and/or administrative costs and expenses incurred by the Relevant Authority, including costs relating to time spent by or on behalf of the Relevant Authority in dealing with the consequences of Supplier Defaults;</w:t>
            </w:r>
          </w:p>
          <w:p w:rsidR="00000000" w:rsidDel="00000000" w:rsidP="00000000" w:rsidRDefault="00000000" w:rsidRPr="00000000" w14:paraId="000000C7">
            <w:pPr>
              <w:pBdr>
                <w:top w:space="0" w:sz="0" w:val="nil"/>
                <w:left w:space="0" w:sz="0" w:val="nil"/>
                <w:bottom w:space="0" w:sz="0" w:val="nil"/>
                <w:right w:space="0" w:sz="0" w:val="nil"/>
                <w:between w:space="0" w:sz="0" w:val="nil"/>
              </w:pBd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additional cost of procuring, implementing or operating any alternative or Replacement Deliverables to the Deliverables which shall include any incremental costs associated with the replacement of such Deliverables above those which would have been payable under the Contract;</w:t>
            </w:r>
          </w:p>
          <w:p w:rsidR="00000000" w:rsidDel="00000000" w:rsidP="00000000" w:rsidRDefault="00000000" w:rsidRPr="00000000" w14:paraId="000000C8">
            <w:pPr>
              <w:pBdr>
                <w:top w:space="0" w:sz="0" w:val="nil"/>
                <w:left w:space="0" w:sz="0" w:val="nil"/>
                <w:bottom w:space="0" w:sz="0" w:val="nil"/>
                <w:right w:space="0" w:sz="0" w:val="nil"/>
                <w:between w:space="0" w:sz="0" w:val="nil"/>
              </w:pBd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any compensation or interest paid to a third party by CCS and/or the Buyer;</w:t>
            </w:r>
          </w:p>
          <w:p w:rsidR="00000000" w:rsidDel="00000000" w:rsidP="00000000" w:rsidRDefault="00000000" w:rsidRPr="00000000" w14:paraId="000000C9">
            <w:pPr>
              <w:pBdr>
                <w:top w:space="0" w:sz="0" w:val="nil"/>
                <w:left w:space="0" w:sz="0" w:val="nil"/>
                <w:bottom w:space="0" w:sz="0" w:val="nil"/>
                <w:right w:space="0" w:sz="0" w:val="nil"/>
                <w:between w:space="0" w:sz="0" w:val="nil"/>
              </w:pBdr>
              <w:ind w:left="991" w:hanging="425"/>
              <w:rPr>
                <w:color w:val="000000"/>
              </w:rPr>
            </w:pPr>
            <w:r w:rsidDel="00000000" w:rsidR="00000000" w:rsidRPr="00000000">
              <w:rPr>
                <w:rFonts w:ascii="Arial" w:cs="Arial" w:eastAsia="Arial" w:hAnsi="Arial"/>
                <w:color w:val="000000"/>
                <w:sz w:val="24"/>
                <w:szCs w:val="24"/>
                <w:rtl w:val="0"/>
              </w:rPr>
              <w:t xml:space="preserve">(e)</w:t>
              <w:tab/>
              <w:t xml:space="preserve">any regulatory Losses or other losses incurred by CCS and/or the Buyer pursuant to the Law.</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ind w:left="566" w:hanging="566"/>
              <w:rPr>
                <w:color w:val="000000"/>
              </w:rPr>
            </w:pPr>
            <w:r w:rsidDel="00000000" w:rsidR="00000000" w:rsidRPr="00000000">
              <w:rPr>
                <w:rFonts w:ascii="Arial" w:cs="Arial" w:eastAsia="Arial" w:hAnsi="Arial"/>
                <w:color w:val="000000"/>
                <w:sz w:val="24"/>
                <w:szCs w:val="24"/>
                <w:rtl w:val="0"/>
              </w:rPr>
              <w:t xml:space="preserve">32.2 The Supplier must promptly notify and, subject to Regulatory Compliance requirements, provide details to CCS and each Buyer if a Conflict of Interest happens or is expected to happen and shall follow any direction made by the Buyer in respect of the proper management and mitigation of the same.</w:t>
            </w:r>
            <w:r w:rsidDel="00000000" w:rsidR="00000000" w:rsidRPr="00000000">
              <w:rPr>
                <w:rtl w:val="0"/>
              </w:rPr>
            </w:r>
          </w:p>
          <w:p w:rsidR="00000000" w:rsidDel="00000000" w:rsidP="00000000" w:rsidRDefault="00000000" w:rsidRPr="00000000" w14:paraId="000000C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34.7 Within 2 Working Days of a written request by CCS, the Supplier shall provide full details of a complaint to CCS, including details of steps to achieve its resolution.</w:t>
            </w:r>
          </w:p>
          <w:p w:rsidR="00000000" w:rsidDel="00000000" w:rsidP="00000000" w:rsidRDefault="00000000" w:rsidRPr="00000000" w14:paraId="000000C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34.8 If a complaint is made by any Buyer to either the Supplier or CCS, the Party receiving the complaint shall notify the other Party in writing of the complaint, if the complaint is not resolved by operation of the Supplier’s usual complaint handling procedure within 5 Working Days of becoming aware of the complaint. If the Supplier is providing the written notice, such notice shall contain full details of the Supplier’s plans to resolve the complaint.</w:t>
            </w:r>
          </w:p>
          <w:p w:rsidR="00000000" w:rsidDel="00000000" w:rsidP="00000000" w:rsidRDefault="00000000" w:rsidRPr="00000000" w14:paraId="000000C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34.9 Without prejudice to any:</w:t>
            </w:r>
          </w:p>
          <w:p w:rsidR="00000000" w:rsidDel="00000000" w:rsidP="00000000" w:rsidRDefault="00000000" w:rsidRPr="00000000" w14:paraId="000000CE">
            <w:pPr>
              <w:pBdr>
                <w:top w:space="0" w:sz="0" w:val="nil"/>
                <w:left w:space="0" w:sz="0" w:val="nil"/>
                <w:bottom w:space="0" w:sz="0" w:val="nil"/>
                <w:right w:space="0" w:sz="0" w:val="nil"/>
                <w:between w:space="0" w:sz="0" w:val="nil"/>
              </w:pBd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rights and remedies that a complainant may have at Law (including under a Contract); and </w:t>
            </w:r>
          </w:p>
          <w:p w:rsidR="00000000" w:rsidDel="00000000" w:rsidP="00000000" w:rsidRDefault="00000000" w:rsidRPr="00000000" w14:paraId="000000CF">
            <w:pPr>
              <w:pBdr>
                <w:top w:space="0" w:sz="0" w:val="nil"/>
                <w:left w:space="0" w:sz="0" w:val="nil"/>
                <w:bottom w:space="0" w:sz="0" w:val="nil"/>
                <w:right w:space="0" w:sz="0" w:val="nil"/>
                <w:between w:space="0" w:sz="0" w:val="nil"/>
              </w:pBdr>
              <w:ind w:left="991"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obligation of the Supplier to take remedial action under the provisions of the Contract; </w:t>
            </w:r>
          </w:p>
          <w:p w:rsidR="00000000" w:rsidDel="00000000" w:rsidP="00000000" w:rsidRDefault="00000000" w:rsidRPr="00000000" w14:paraId="000000D0">
            <w:pPr>
              <w:rPr>
                <w:rFonts w:ascii="Arial" w:cs="Arial" w:eastAsia="Arial" w:hAnsi="Arial"/>
                <w:sz w:val="24"/>
                <w:szCs w:val="24"/>
                <w:highlight w:val="yellow"/>
              </w:rPr>
            </w:pPr>
            <w:r w:rsidDel="00000000" w:rsidR="00000000" w:rsidRPr="00000000">
              <w:rPr>
                <w:rFonts w:ascii="Arial" w:cs="Arial" w:eastAsia="Arial" w:hAnsi="Arial"/>
                <w:color w:val="000000"/>
                <w:sz w:val="24"/>
                <w:szCs w:val="24"/>
                <w:rtl w:val="0"/>
              </w:rPr>
              <w:t xml:space="preserve">the Supplier shall use its best endeavours to resolve the complaint within 10 Working Days and in so doing, shall deal with the complaint fully, expeditiously and fairly. </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0D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 </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0D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0D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Cyber Essentials Scheme Plus Certificate (or equivalent). Details in Framework Schedule 9 (Cyber Essentials Scheme)</w:t>
            </w:r>
            <w:r w:rsidDel="00000000" w:rsidR="00000000" w:rsidRPr="00000000">
              <w:rPr>
                <w:rtl w:val="0"/>
              </w:rPr>
            </w:r>
          </w:p>
        </w:tc>
      </w:tr>
      <w:tr>
        <w:trPr>
          <w:cantSplit w:val="0"/>
          <w:trHeight w:val="731" w:hRule="atLeast"/>
          <w:tblHeader w:val="0"/>
        </w:trPr>
        <w:tc>
          <w:tcPr/>
          <w:p w:rsidR="00000000" w:rsidDel="00000000" w:rsidP="00000000" w:rsidRDefault="00000000" w:rsidRPr="00000000" w14:paraId="000000D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0D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pay, excluding VAT, </w:t>
            </w:r>
            <w:r w:rsidDel="00000000" w:rsidR="00000000" w:rsidRPr="00000000">
              <w:rPr>
                <w:rFonts w:ascii="Arial" w:cs="Arial" w:eastAsia="Arial" w:hAnsi="Arial"/>
                <w:b w:val="1"/>
                <w:color w:val="000000"/>
                <w:sz w:val="24"/>
                <w:szCs w:val="24"/>
                <w:rtl w:val="0"/>
              </w:rPr>
              <w:t xml:space="preserve">1.5</w:t>
            </w:r>
            <w:r w:rsidDel="00000000" w:rsidR="00000000" w:rsidRPr="00000000">
              <w:rPr>
                <w:rFonts w:ascii="Arial" w:cs="Arial" w:eastAsia="Arial" w:hAnsi="Arial"/>
                <w:color w:val="000000"/>
                <w:sz w:val="24"/>
                <w:szCs w:val="24"/>
                <w:rtl w:val="0"/>
              </w:rPr>
              <w:t xml:space="preserve">% of all the Charges for the Deliverables invoiced to the Buyer under all Call-Off Contracts.</w:t>
            </w:r>
          </w:p>
        </w:tc>
      </w:tr>
      <w:tr>
        <w:trPr>
          <w:cantSplit w:val="0"/>
          <w:trHeight w:val="1333" w:hRule="atLeast"/>
          <w:tblHeader w:val="0"/>
        </w:trPr>
        <w:tc>
          <w:tcPr/>
          <w:p w:rsidR="00000000" w:rsidDel="00000000" w:rsidP="00000000" w:rsidRDefault="00000000" w:rsidRPr="00000000" w14:paraId="000000D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0E2">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3">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4">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5">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6">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0E9">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A">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B">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EC">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E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F0">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1">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2">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3">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0F7">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8">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9">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0FA">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0FB">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F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£10,000,000</w:t>
            </w:r>
          </w:p>
        </w:tc>
      </w:tr>
      <w:tr>
        <w:trPr>
          <w:cantSplit w:val="0"/>
          <w:trHeight w:val="1333" w:hRule="atLeast"/>
          <w:tblHeader w:val="0"/>
        </w:trPr>
        <w:tc>
          <w:tcPr/>
          <w:p w:rsidR="00000000" w:rsidDel="00000000" w:rsidP="00000000" w:rsidRDefault="00000000" w:rsidRPr="00000000" w14:paraId="000000FE">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01">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2">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3">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4">
            <w:pPr>
              <w:spacing w:after="0" w:line="240" w:lineRule="auto"/>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07">
            <w:pPr>
              <w:spacing w:after="120" w:before="120" w:lineRule="auto"/>
              <w:rPr>
                <w:rFonts w:ascii="Arial" w:cs="Arial" w:eastAsia="Arial" w:hAnsi="Arial"/>
                <w:color w:val="000000"/>
                <w:sz w:val="24"/>
                <w:szCs w:val="24"/>
                <w:highlight w:val="yellow"/>
              </w:rPr>
            </w:pPr>
            <w:bookmarkStart w:colFirst="0" w:colLast="0" w:name="_kiuvztfx76kb" w:id="1"/>
            <w:bookmarkEnd w:id="1"/>
            <w:r w:rsidDel="00000000" w:rsidR="00000000" w:rsidRPr="00000000">
              <w:rPr>
                <w:rFonts w:ascii="Arial" w:cs="Arial" w:eastAsia="Arial" w:hAnsi="Arial"/>
                <w:color w:val="000000"/>
                <w:sz w:val="24"/>
                <w:szCs w:val="24"/>
                <w:rtl w:val="0"/>
              </w:rPr>
              <w:t xml:space="preserve">Not applicable</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240" w:lineRule="auto"/>
              <w:ind w:left="3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0B">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C">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D">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0E">
            <w:pPr>
              <w:spacing w:after="0" w:line="24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0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Currency for Forex Tracker (Lot 4 only)</w:t>
            </w:r>
          </w:p>
        </w:tc>
        <w:tc>
          <w:tcPr/>
          <w:p w:rsidR="00000000" w:rsidDel="00000000" w:rsidP="00000000" w:rsidRDefault="00000000" w:rsidRPr="00000000" w14:paraId="0000011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applicable, please refer to Framework Schedule 3 – Framework Prices. </w:t>
            </w:r>
          </w:p>
          <w:p w:rsidR="00000000" w:rsidDel="00000000" w:rsidP="00000000" w:rsidRDefault="00000000" w:rsidRPr="00000000" w14:paraId="00000112">
            <w:pP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1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rPr>
          <w:rFonts w:ascii="Arial" w:cs="Arial" w:eastAsia="Arial" w:hAnsi="Arial"/>
          <w:sz w:val="24"/>
          <w:szCs w:val="24"/>
        </w:rPr>
      </w:pPr>
      <w:r w:rsidDel="00000000" w:rsidR="00000000" w:rsidRPr="00000000">
        <w:rPr>
          <w:rtl w:val="0"/>
        </w:rPr>
      </w:r>
    </w:p>
    <w:bookmarkStart w:colFirst="0" w:colLast="0" w:name="dz1ydisz2xv6" w:id="2"/>
    <w:bookmarkEnd w:id="2"/>
    <w:tbl>
      <w:tblPr>
        <w:tblStyle w:val="Table3"/>
        <w:tblW w:w="10485.0" w:type="dxa"/>
        <w:jc w:val="left"/>
        <w:tblInd w:w="-735.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2265"/>
        <w:gridCol w:w="3195"/>
        <w:gridCol w:w="1485"/>
        <w:gridCol w:w="3540"/>
        <w:tblGridChange w:id="0">
          <w:tblGrid>
            <w:gridCol w:w="2265"/>
            <w:gridCol w:w="3195"/>
            <w:gridCol w:w="1485"/>
            <w:gridCol w:w="3540"/>
          </w:tblGrid>
        </w:tblGridChange>
      </w:tblGrid>
      <w:tr>
        <w:trPr>
          <w:cantSplit w:val="0"/>
          <w:trHeight w:val="635" w:hRule="atLeast"/>
          <w:tblHeader w:val="0"/>
        </w:trPr>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1A">
            <w:pP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1B">
            <w:pPr>
              <w:spacing w:after="0" w:line="240" w:lineRule="auto"/>
              <w:rPr>
                <w:rFonts w:ascii="Arial" w:cs="Arial" w:eastAsia="Arial" w:hAnsi="Arial"/>
                <w:color w:val="ffffff"/>
                <w:sz w:val="24"/>
                <w:szCs w:val="24"/>
              </w:rPr>
            </w:pPr>
            <w:r w:rsidDel="00000000" w:rsidR="00000000" w:rsidRPr="00000000">
              <w:rPr>
                <w:rtl w:val="0"/>
              </w:rPr>
            </w:r>
          </w:p>
        </w:tc>
        <w:tc>
          <w:tcPr/>
          <w:p w:rsidR="00000000" w:rsidDel="00000000" w:rsidP="00000000" w:rsidRDefault="00000000" w:rsidRPr="00000000" w14:paraId="0000011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shd w:fill="auto" w:val="clear"/>
          </w:tcPr>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shd w:fill="auto" w:val="clear"/>
          </w:tcPr>
          <w:p w:rsidR="00000000" w:rsidDel="00000000" w:rsidP="00000000" w:rsidRDefault="00000000" w:rsidRPr="00000000" w14:paraId="0000011F">
            <w:pPr>
              <w:spacing w:after="0" w:line="240" w:lineRule="auto"/>
              <w:rPr>
                <w:rFonts w:ascii="Arial" w:cs="Arial" w:eastAsia="Arial" w:hAnsi="Arial"/>
                <w:color w:val="ffffff"/>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shd w:fill="auto" w:val="clear"/>
          </w:tcPr>
          <w:p w:rsidR="00000000" w:rsidDel="00000000" w:rsidP="00000000" w:rsidRDefault="00000000" w:rsidRPr="00000000" w14:paraId="00000121">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22">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shd w:fill="auto" w:val="clear"/>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Fonts w:ascii="Arial" w:cs="Arial" w:eastAsia="Arial" w:hAnsi="Arial"/>
                <w:color w:val="ffffff"/>
                <w:sz w:val="24"/>
                <w:szCs w:val="24"/>
                <w:rtl w:val="0"/>
              </w:rPr>
              <w:t xml:space="preserve">T</w:t>
            </w:r>
          </w:p>
        </w:tc>
        <w:tc>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shd w:fill="auto" w:val="clear"/>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26">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shd w:fill="auto" w:val="clear"/>
          </w:tcPr>
          <w:p w:rsidR="00000000" w:rsidDel="00000000" w:rsidP="00000000" w:rsidRDefault="00000000" w:rsidRPr="00000000" w14:paraId="00000127">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2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shd w:fill="auto" w:val="clear"/>
          </w:tcPr>
          <w:p w:rsidR="00000000" w:rsidDel="00000000" w:rsidP="00000000" w:rsidRDefault="00000000" w:rsidRPr="00000000" w14:paraId="00000129">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ffffff"/>
                <w:sz w:val="24"/>
                <w:szCs w:val="24"/>
              </w:rPr>
            </w:pPr>
            <w:r w:rsidDel="00000000" w:rsidR="00000000" w:rsidRPr="00000000">
              <w:rPr>
                <w:rFonts w:ascii="Arial" w:cs="Arial" w:eastAsia="Arial" w:hAnsi="Arial"/>
                <w:color w:val="ffffff"/>
                <w:sz w:val="24"/>
                <w:szCs w:val="24"/>
                <w:rtl w:val="0"/>
              </w:rPr>
              <w:t xml:space="preserve">{{</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12A">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nextPage"/>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tabs>
        <w:tab w:val="center" w:leader="none" w:pos="4513"/>
        <w:tab w:val="right" w:leader="none" w:pos="9026"/>
      </w:tabs>
      <w:spacing w:after="0" w:lineRule="auto"/>
      <w:rPr>
        <w:color w:val="a6a6a6"/>
      </w:rPr>
    </w:pPr>
    <w:r w:rsidDel="00000000" w:rsidR="00000000" w:rsidRPr="00000000">
      <w:rPr>
        <w:rtl w:val="0"/>
      </w:rPr>
    </w:r>
  </w:p>
  <w:p w:rsidR="00000000" w:rsidDel="00000000" w:rsidP="00000000" w:rsidRDefault="00000000" w:rsidRPr="00000000" w14:paraId="000001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v3.11</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3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7">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Framework Award Form</w:t>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 2025</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2">
    <w:lvl w:ilvl="0">
      <w:start w:val="1"/>
      <w:numFmt w:val="lowerLetter"/>
      <w:lvlText w:val="(%1)"/>
      <w:lvlJc w:val="left"/>
      <w:pPr>
        <w:ind w:left="1264" w:hanging="555"/>
      </w:pPr>
      <w:rPr>
        <w:u w:val="single"/>
      </w:rPr>
    </w:lvl>
    <w:lvl w:ilvl="1">
      <w:start w:val="1"/>
      <w:numFmt w:val="lowerLetter"/>
      <w:lvlText w:val="%2."/>
      <w:lvlJc w:val="left"/>
      <w:pPr>
        <w:ind w:left="1789" w:hanging="360"/>
      </w:pPr>
      <w:rPr/>
    </w:lvl>
    <w:lvl w:ilvl="2">
      <w:start w:val="1"/>
      <w:numFmt w:val="lowerRoman"/>
      <w:lvlText w:val="%3."/>
      <w:lvlJc w:val="right"/>
      <w:pPr>
        <w:ind w:left="2509" w:hanging="180"/>
      </w:pPr>
      <w:rPr/>
    </w:lvl>
    <w:lvl w:ilvl="3">
      <w:start w:val="1"/>
      <w:numFmt w:val="decimal"/>
      <w:lvlText w:val="%4."/>
      <w:lvlJc w:val="left"/>
      <w:pPr>
        <w:ind w:left="3229" w:hanging="360"/>
      </w:pPr>
      <w:rPr/>
    </w:lvl>
    <w:lvl w:ilvl="4">
      <w:start w:val="1"/>
      <w:numFmt w:val="lowerLetter"/>
      <w:lvlText w:val="%5."/>
      <w:lvlJc w:val="left"/>
      <w:pPr>
        <w:ind w:left="3949" w:hanging="360"/>
      </w:pPr>
      <w:rPr/>
    </w:lvl>
    <w:lvl w:ilvl="5">
      <w:start w:val="1"/>
      <w:numFmt w:val="lowerRoman"/>
      <w:lvlText w:val="%6."/>
      <w:lvlJc w:val="right"/>
      <w:pPr>
        <w:ind w:left="4669" w:hanging="180"/>
      </w:pPr>
      <w:rPr/>
    </w:lvl>
    <w:lvl w:ilvl="6">
      <w:start w:val="1"/>
      <w:numFmt w:val="decimal"/>
      <w:lvlText w:val="%7."/>
      <w:lvlJc w:val="left"/>
      <w:pPr>
        <w:ind w:left="5389" w:hanging="360"/>
      </w:pPr>
      <w:rPr/>
    </w:lvl>
    <w:lvl w:ilvl="7">
      <w:start w:val="1"/>
      <w:numFmt w:val="lowerLetter"/>
      <w:lvlText w:val="%8."/>
      <w:lvlJc w:val="left"/>
      <w:pPr>
        <w:ind w:left="6109" w:hanging="360"/>
      </w:pPr>
      <w:rPr/>
    </w:lvl>
    <w:lvl w:ilvl="8">
      <w:start w:val="1"/>
      <w:numFmt w:val="lowerRoman"/>
      <w:lvlText w:val="%9."/>
      <w:lvlJc w:val="right"/>
      <w:pPr>
        <w:ind w:left="6829" w:hanging="180"/>
      </w:pPr>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2.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